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58" w:rsidRPr="00BC6F02" w:rsidRDefault="00BC6F02">
      <w:pPr>
        <w:rPr>
          <w:b/>
          <w:sz w:val="24"/>
          <w:szCs w:val="24"/>
          <w:u w:val="single"/>
        </w:rPr>
      </w:pPr>
      <w:r w:rsidRPr="00BC6F02">
        <w:rPr>
          <w:b/>
          <w:sz w:val="24"/>
          <w:szCs w:val="24"/>
          <w:u w:val="single"/>
        </w:rPr>
        <w:t>WRWA Position Statement</w:t>
      </w:r>
    </w:p>
    <w:p w:rsidR="00BC6F02" w:rsidRPr="00BC6F02" w:rsidRDefault="00BC6F02">
      <w:pPr>
        <w:rPr>
          <w:sz w:val="24"/>
          <w:szCs w:val="24"/>
        </w:rPr>
      </w:pPr>
      <w:r>
        <w:rPr>
          <w:sz w:val="24"/>
          <w:szCs w:val="24"/>
        </w:rPr>
        <w:t>WRWA supports any decision related to non-required water treatment or chemical addition to drinking water that is decided by the community and its local decision makers, as long as it’s done in a manner that protects human health and meets all local, state and federal requirements.</w:t>
      </w:r>
      <w:bookmarkStart w:id="0" w:name="_GoBack"/>
      <w:bookmarkEnd w:id="0"/>
    </w:p>
    <w:sectPr w:rsidR="00BC6F02" w:rsidRPr="00BC6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02"/>
    <w:rsid w:val="006B2BDB"/>
    <w:rsid w:val="00753158"/>
    <w:rsid w:val="00B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Calibri" w:hAnsi="Century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2B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yington" w:eastAsiaTheme="majorEastAsia" w:hAnsi="Byington" w:cstheme="maj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Calibri" w:hAnsi="Century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2B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yington" w:eastAsiaTheme="majorEastAsia" w:hAnsi="Byington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200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Klismith</dc:creator>
  <cp:lastModifiedBy>Janis Klismith</cp:lastModifiedBy>
  <cp:revision>1</cp:revision>
  <dcterms:created xsi:type="dcterms:W3CDTF">2013-09-17T18:58:00Z</dcterms:created>
  <dcterms:modified xsi:type="dcterms:W3CDTF">2013-09-17T18:59:00Z</dcterms:modified>
</cp:coreProperties>
</file>